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A7AFF" w14:textId="77777777" w:rsidR="00740D09" w:rsidRDefault="00740D09"/>
    <w:p w14:paraId="4E7F2F56" w14:textId="77777777" w:rsidR="00740D09" w:rsidRDefault="00740D09"/>
    <w:p w14:paraId="5EB8BF48" w14:textId="77777777" w:rsidR="00740D09" w:rsidRDefault="00740D09"/>
    <w:p w14:paraId="3BEF2EF8" w14:textId="77777777" w:rsidR="00740D09" w:rsidRDefault="00740D09"/>
    <w:p w14:paraId="5D866364" w14:textId="77777777" w:rsidR="00740D09" w:rsidRDefault="00740D09"/>
    <w:p w14:paraId="1D90C29E" w14:textId="77777777" w:rsidR="00740D09" w:rsidRDefault="00740D09"/>
    <w:p w14:paraId="31FA8FE0" w14:textId="77777777" w:rsidR="00740D09" w:rsidRDefault="00740D09"/>
    <w:p w14:paraId="475B0A16" w14:textId="72BD0103" w:rsidR="00740D09" w:rsidRPr="00B61270" w:rsidRDefault="00531D9C" w:rsidP="00740D09">
      <w:pPr>
        <w:ind w:firstLine="0"/>
        <w:jc w:val="center"/>
        <w:rPr>
          <w:bCs/>
        </w:rPr>
      </w:pPr>
      <w:r w:rsidRPr="00B61270">
        <w:rPr>
          <w:bCs/>
        </w:rPr>
        <w:t xml:space="preserve">Duty to warn Vs. Duty to </w:t>
      </w:r>
      <w:r w:rsidR="00B61270">
        <w:rPr>
          <w:bCs/>
        </w:rPr>
        <w:t>P</w:t>
      </w:r>
      <w:r w:rsidRPr="00B61270">
        <w:rPr>
          <w:bCs/>
        </w:rPr>
        <w:t>rotect</w:t>
      </w:r>
    </w:p>
    <w:p w14:paraId="1163118E" w14:textId="77777777" w:rsidR="00740D09" w:rsidRDefault="00531D9C" w:rsidP="00740D09">
      <w:pPr>
        <w:ind w:firstLine="0"/>
        <w:jc w:val="center"/>
      </w:pPr>
      <w:r>
        <w:t>Student’s Name</w:t>
      </w:r>
    </w:p>
    <w:p w14:paraId="20A53AF2" w14:textId="77777777" w:rsidR="00740D09" w:rsidRDefault="00531D9C" w:rsidP="00740D09">
      <w:pPr>
        <w:ind w:firstLine="0"/>
        <w:jc w:val="center"/>
      </w:pPr>
      <w:r>
        <w:t>Institutional Affiliation</w:t>
      </w:r>
    </w:p>
    <w:p w14:paraId="7DD31EE4" w14:textId="77777777" w:rsidR="00740D09" w:rsidRDefault="00531D9C" w:rsidP="00740D09">
      <w:pPr>
        <w:ind w:firstLine="0"/>
        <w:jc w:val="center"/>
      </w:pPr>
      <w:r>
        <w:t>Course Name and Number</w:t>
      </w:r>
    </w:p>
    <w:p w14:paraId="27550DE3" w14:textId="77777777" w:rsidR="00740D09" w:rsidRDefault="00531D9C" w:rsidP="00740D09">
      <w:pPr>
        <w:ind w:firstLine="0"/>
        <w:jc w:val="center"/>
      </w:pPr>
      <w:r>
        <w:t>Instructor’s Name</w:t>
      </w:r>
    </w:p>
    <w:p w14:paraId="7CA7A549" w14:textId="4A9F549E" w:rsidR="00740D09" w:rsidRDefault="00531D9C" w:rsidP="00740D09">
      <w:pPr>
        <w:ind w:firstLine="0"/>
        <w:jc w:val="center"/>
      </w:pPr>
      <w:r>
        <w:t>Assignment Due Date</w:t>
      </w:r>
    </w:p>
    <w:p w14:paraId="5D7E1221" w14:textId="488A68EF" w:rsidR="00740D09" w:rsidRDefault="00740D09" w:rsidP="00740D09">
      <w:pPr>
        <w:ind w:firstLine="0"/>
        <w:jc w:val="center"/>
      </w:pPr>
    </w:p>
    <w:p w14:paraId="00E876B7" w14:textId="711EEE72" w:rsidR="00740D09" w:rsidRDefault="00740D09" w:rsidP="00740D09">
      <w:pPr>
        <w:ind w:firstLine="0"/>
        <w:jc w:val="center"/>
      </w:pPr>
    </w:p>
    <w:p w14:paraId="4AAE6C72" w14:textId="20833F7C" w:rsidR="00740D09" w:rsidRDefault="00740D09" w:rsidP="00740D09">
      <w:pPr>
        <w:ind w:firstLine="0"/>
        <w:jc w:val="center"/>
      </w:pPr>
    </w:p>
    <w:p w14:paraId="57DCC4DD" w14:textId="77777777" w:rsidR="00B61270" w:rsidRDefault="00B61270" w:rsidP="00740D09">
      <w:pPr>
        <w:ind w:firstLine="0"/>
        <w:jc w:val="center"/>
      </w:pPr>
    </w:p>
    <w:p w14:paraId="4B7942C1" w14:textId="77777777" w:rsidR="00B61270" w:rsidRDefault="00B61270" w:rsidP="00740D09">
      <w:pPr>
        <w:ind w:firstLine="0"/>
        <w:jc w:val="center"/>
      </w:pPr>
    </w:p>
    <w:p w14:paraId="66274B5D" w14:textId="0C832E64" w:rsidR="00740D09" w:rsidRDefault="00740D09" w:rsidP="00740D09">
      <w:pPr>
        <w:ind w:firstLine="0"/>
        <w:jc w:val="center"/>
      </w:pPr>
    </w:p>
    <w:p w14:paraId="1F97729E" w14:textId="1014EB65" w:rsidR="00740D09" w:rsidRDefault="00740D09" w:rsidP="00740D09">
      <w:pPr>
        <w:ind w:firstLine="0"/>
        <w:jc w:val="center"/>
      </w:pPr>
    </w:p>
    <w:p w14:paraId="0D974CEC" w14:textId="006EBB4D" w:rsidR="00740D09" w:rsidRDefault="00740D09" w:rsidP="00740D09">
      <w:pPr>
        <w:ind w:firstLine="0"/>
        <w:jc w:val="center"/>
      </w:pPr>
    </w:p>
    <w:p w14:paraId="331429FA" w14:textId="279B2DB8" w:rsidR="00740D09" w:rsidRDefault="00740D09" w:rsidP="00740D09">
      <w:pPr>
        <w:ind w:firstLine="0"/>
        <w:jc w:val="center"/>
      </w:pPr>
    </w:p>
    <w:p w14:paraId="460B98A0" w14:textId="77777777" w:rsidR="00740D09" w:rsidRPr="00740D09" w:rsidRDefault="00740D09" w:rsidP="00740D09">
      <w:pPr>
        <w:ind w:firstLine="0"/>
        <w:jc w:val="center"/>
      </w:pPr>
    </w:p>
    <w:p w14:paraId="068CD8C6" w14:textId="34052970" w:rsidR="0011554C" w:rsidRDefault="00531D9C">
      <w:r>
        <w:lastRenderedPageBreak/>
        <w:t>Tarasoff</w:t>
      </w:r>
      <w:r w:rsidR="00DD2584">
        <w:t xml:space="preserve"> Vs. Regents </w:t>
      </w:r>
      <w:r w:rsidR="00834FF4">
        <w:t>is a</w:t>
      </w:r>
      <w:r w:rsidR="00DD2584">
        <w:t xml:space="preserve"> legal precedent that establishes the duty to warn </w:t>
      </w:r>
      <w:r>
        <w:t xml:space="preserve">and protect, as seen in the wrongful death case. A counselor may identify victims hence has a duty to warn. However, the duty to protect is a </w:t>
      </w:r>
      <w:r w:rsidR="00834FF4">
        <w:t>counselor’s</w:t>
      </w:r>
      <w:r>
        <w:t xml:space="preserve"> duty in revelation of </w:t>
      </w:r>
      <w:r w:rsidR="00834FF4">
        <w:t>information</w:t>
      </w:r>
      <w:r>
        <w:t xml:space="preserve"> that he deems may be of harm to a third party, despite such informat</w:t>
      </w:r>
      <w:r>
        <w:t xml:space="preserve">ion being confidential. Comprehension of duty to warn by </w:t>
      </w:r>
      <w:r w:rsidR="00834FF4">
        <w:t>counselors</w:t>
      </w:r>
      <w:r>
        <w:t xml:space="preserve"> commences with a strike of balance and knowledge between legal standards of </w:t>
      </w:r>
      <w:r w:rsidR="00834FF4">
        <w:t>privileged</w:t>
      </w:r>
      <w:r>
        <w:t xml:space="preserve"> information, and ethical responsibility, as the rule of confidentiality is key. Confidentiality is an</w:t>
      </w:r>
      <w:r>
        <w:t xml:space="preserve"> agreement that the information shared between the counselor and </w:t>
      </w:r>
      <w:r w:rsidR="00834FF4">
        <w:t>client</w:t>
      </w:r>
      <w:r>
        <w:t xml:space="preserve"> will remain undivulged between them. Patient-therapist </w:t>
      </w:r>
      <w:r w:rsidR="00834FF4">
        <w:t>privilege</w:t>
      </w:r>
      <w:r>
        <w:t xml:space="preserve">, also </w:t>
      </w:r>
      <w:r w:rsidR="00834FF4">
        <w:t>privileged</w:t>
      </w:r>
      <w:r>
        <w:t xml:space="preserve"> communication, is a legal aspect encompassing a declaration that the communications between the two wi</w:t>
      </w:r>
      <w:r>
        <w:t>ll stay private</w:t>
      </w:r>
      <w:r w:rsidR="00740D09">
        <w:t xml:space="preserve"> (Martinez-Martin &amp; Kreitmair, 2018)</w:t>
      </w:r>
      <w:r>
        <w:t xml:space="preserve">. The client has superiority in this case and unqualified </w:t>
      </w:r>
      <w:r w:rsidR="00834FF4">
        <w:t>ownership</w:t>
      </w:r>
      <w:r>
        <w:t xml:space="preserve"> of the </w:t>
      </w:r>
      <w:r w:rsidR="00834FF4">
        <w:t>privilege</w:t>
      </w:r>
      <w:r>
        <w:t xml:space="preserve">; hence, he alone may choose to release the information. Absolute ownership is not, however, guaranteed; hence </w:t>
      </w:r>
      <w:r w:rsidR="00834FF4">
        <w:t>an exception to the privilege arises whereby the counselor finds the information to be a source of potential harm, and counselors may breach confidentiality whereby a risk to an identifiable person is posed.</w:t>
      </w:r>
    </w:p>
    <w:p w14:paraId="5970323E" w14:textId="45EB06AE" w:rsidR="00834FF4" w:rsidRDefault="00531D9C">
      <w:r>
        <w:t>In the precedent, the establishment of duty to warn and pr</w:t>
      </w:r>
      <w:r>
        <w:t>otect may be reviewed from the scenario whereby, Tarasoff was murdered by Poddar, an Indian Student at the University of California. Due to distress, Poddar sought counseling numerous times, and since the psychologist was concerned, he made him committed t</w:t>
      </w:r>
      <w:r>
        <w:t>o therapy. Campus police were also informed of the threat, which he refused and promised to cause no harm, thus being later released. I may have a problem with reporting a client since we bear a special relationship. Still, when it comes to a threatening s</w:t>
      </w:r>
      <w:r>
        <w:t xml:space="preserve">ituation, I may involve relevant authorities, since only counseling maybe cannot work at some point, as in </w:t>
      </w:r>
      <w:r w:rsidR="00740D09">
        <w:t xml:space="preserve">Poddar’s case, who terminated therapy. Duty to protect may be </w:t>
      </w:r>
      <w:r w:rsidR="00740D09">
        <w:lastRenderedPageBreak/>
        <w:t xml:space="preserve">inclusive of therapeutic considerations, such as anger and anxiety management, which at some point may deem unsuccessful, thus a privilege of justice. </w:t>
      </w:r>
    </w:p>
    <w:p w14:paraId="646C2D8E" w14:textId="251C9374" w:rsidR="00740D09" w:rsidRDefault="00740D09"/>
    <w:p w14:paraId="54518E13" w14:textId="57C44CF0" w:rsidR="00740D09" w:rsidRDefault="00740D09"/>
    <w:p w14:paraId="20C86B75" w14:textId="43CF19EE" w:rsidR="00740D09" w:rsidRDefault="00740D09"/>
    <w:p w14:paraId="7B22A2AA" w14:textId="7AC7407A" w:rsidR="00740D09" w:rsidRDefault="00740D09"/>
    <w:p w14:paraId="490177BD" w14:textId="585B6B65" w:rsidR="00740D09" w:rsidRDefault="00740D09"/>
    <w:p w14:paraId="4633E472" w14:textId="4FCFD2B0" w:rsidR="00740D09" w:rsidRDefault="00740D09"/>
    <w:p w14:paraId="72D28BA4" w14:textId="12440D64" w:rsidR="00740D09" w:rsidRDefault="00740D09"/>
    <w:p w14:paraId="57C25DB7" w14:textId="56920BA6" w:rsidR="00740D09" w:rsidRDefault="00740D09"/>
    <w:p w14:paraId="3BD5B4CC" w14:textId="1085D99E" w:rsidR="00740D09" w:rsidRDefault="00740D09"/>
    <w:p w14:paraId="79FA3E43" w14:textId="10339591" w:rsidR="00740D09" w:rsidRDefault="00740D09"/>
    <w:p w14:paraId="25FD8DA8" w14:textId="0B301F6E" w:rsidR="00740D09" w:rsidRDefault="00740D09"/>
    <w:p w14:paraId="503277AE" w14:textId="3B263B4F" w:rsidR="00740D09" w:rsidRDefault="00740D09"/>
    <w:p w14:paraId="44BE0B28" w14:textId="49BEE5FB" w:rsidR="00740D09" w:rsidRDefault="00740D09"/>
    <w:p w14:paraId="3B89AFF7" w14:textId="2C307225" w:rsidR="00740D09" w:rsidRDefault="00740D09"/>
    <w:p w14:paraId="5997BFFE" w14:textId="2DAD6936" w:rsidR="00740D09" w:rsidRDefault="00740D09"/>
    <w:p w14:paraId="70AA12B5" w14:textId="479C9EA4" w:rsidR="00740D09" w:rsidRDefault="00740D09"/>
    <w:p w14:paraId="5E7EE134" w14:textId="449269BF" w:rsidR="00740D09" w:rsidRDefault="00740D09"/>
    <w:p w14:paraId="3FEFA6C5" w14:textId="67DD99FF" w:rsidR="00740D09" w:rsidRDefault="00740D09"/>
    <w:p w14:paraId="3B69C1F3" w14:textId="634259D9" w:rsidR="00740D09" w:rsidRDefault="00740D09"/>
    <w:p w14:paraId="037DBA1E" w14:textId="0959D40A" w:rsidR="00740D09" w:rsidRDefault="00740D09"/>
    <w:p w14:paraId="32C68BDB" w14:textId="05F01532" w:rsidR="00740D09" w:rsidRDefault="00740D09"/>
    <w:p w14:paraId="6669E153" w14:textId="740F1466" w:rsidR="00740D09" w:rsidRDefault="00531D9C" w:rsidP="00740D09">
      <w:pPr>
        <w:ind w:firstLine="0"/>
        <w:jc w:val="center"/>
        <w:rPr>
          <w:b/>
          <w:bCs/>
        </w:rPr>
      </w:pPr>
      <w:r>
        <w:rPr>
          <w:b/>
          <w:bCs/>
        </w:rPr>
        <w:lastRenderedPageBreak/>
        <w:t>References</w:t>
      </w:r>
    </w:p>
    <w:p w14:paraId="187AF473" w14:textId="4B357308" w:rsidR="00740D09" w:rsidRPr="00740D09" w:rsidRDefault="00531D9C" w:rsidP="00740D09">
      <w:pPr>
        <w:ind w:left="720" w:hanging="720"/>
      </w:pPr>
      <w:r w:rsidRPr="00740D09">
        <w:t xml:space="preserve">Martinez-Martin, N., &amp; Kreitmair, K. (2018). Ethical issues for direct-to-consumer digital psychotherapy apps: addressing accountability, data protection, and </w:t>
      </w:r>
      <w:r w:rsidRPr="00740D09">
        <w:t>consent. JMIR mental health, 5(2), e32.</w:t>
      </w:r>
      <w:bookmarkStart w:id="0" w:name="_GoBack"/>
      <w:bookmarkEnd w:id="0"/>
    </w:p>
    <w:sectPr w:rsidR="00740D09" w:rsidRPr="00740D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2401CA" w14:textId="77777777" w:rsidR="00531D9C" w:rsidRDefault="00531D9C">
      <w:pPr>
        <w:spacing w:line="240" w:lineRule="auto"/>
      </w:pPr>
      <w:r>
        <w:separator/>
      </w:r>
    </w:p>
  </w:endnote>
  <w:endnote w:type="continuationSeparator" w:id="0">
    <w:p w14:paraId="59CE0C2F" w14:textId="77777777" w:rsidR="00531D9C" w:rsidRDefault="00531D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FCAACF" w14:textId="77777777" w:rsidR="00531D9C" w:rsidRDefault="00531D9C">
      <w:pPr>
        <w:spacing w:line="240" w:lineRule="auto"/>
      </w:pPr>
      <w:r>
        <w:separator/>
      </w:r>
    </w:p>
  </w:footnote>
  <w:footnote w:type="continuationSeparator" w:id="0">
    <w:p w14:paraId="652717DF" w14:textId="77777777" w:rsidR="00531D9C" w:rsidRDefault="00531D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143964"/>
      <w:docPartObj>
        <w:docPartGallery w:val="Page Numbers (Top of Page)"/>
        <w:docPartUnique/>
      </w:docPartObj>
    </w:sdtPr>
    <w:sdtEndPr>
      <w:rPr>
        <w:noProof/>
      </w:rPr>
    </w:sdtEndPr>
    <w:sdtContent>
      <w:p w14:paraId="14FE8EDE" w14:textId="2DF14923" w:rsidR="00DD2584" w:rsidRDefault="00531D9C">
        <w:pPr>
          <w:pStyle w:val="Header"/>
          <w:jc w:val="right"/>
        </w:pPr>
        <w:r>
          <w:fldChar w:fldCharType="begin"/>
        </w:r>
        <w:r>
          <w:instrText xml:space="preserve"> PAGE   \* MERGEFORMAT </w:instrText>
        </w:r>
        <w:r>
          <w:fldChar w:fldCharType="separate"/>
        </w:r>
        <w:r w:rsidR="00B61270">
          <w:rPr>
            <w:noProof/>
          </w:rPr>
          <w:t>4</w:t>
        </w:r>
        <w:r>
          <w:rPr>
            <w:noProof/>
          </w:rPr>
          <w:fldChar w:fldCharType="end"/>
        </w:r>
      </w:p>
    </w:sdtContent>
  </w:sdt>
  <w:p w14:paraId="2BD2E410" w14:textId="77777777" w:rsidR="00DD2584" w:rsidRDefault="00DD25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584"/>
    <w:rsid w:val="000140C2"/>
    <w:rsid w:val="0011554C"/>
    <w:rsid w:val="00497FB7"/>
    <w:rsid w:val="00531D9C"/>
    <w:rsid w:val="00740D09"/>
    <w:rsid w:val="00834FF4"/>
    <w:rsid w:val="00B61270"/>
    <w:rsid w:val="00DD2584"/>
    <w:rsid w:val="00EA4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28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584"/>
    <w:pPr>
      <w:tabs>
        <w:tab w:val="center" w:pos="4680"/>
        <w:tab w:val="right" w:pos="9360"/>
      </w:tabs>
      <w:spacing w:line="240" w:lineRule="auto"/>
    </w:pPr>
  </w:style>
  <w:style w:type="character" w:customStyle="1" w:styleId="HeaderChar">
    <w:name w:val="Header Char"/>
    <w:basedOn w:val="DefaultParagraphFont"/>
    <w:link w:val="Header"/>
    <w:uiPriority w:val="99"/>
    <w:rsid w:val="00DD2584"/>
  </w:style>
  <w:style w:type="paragraph" w:styleId="Footer">
    <w:name w:val="footer"/>
    <w:basedOn w:val="Normal"/>
    <w:link w:val="FooterChar"/>
    <w:uiPriority w:val="99"/>
    <w:unhideWhenUsed/>
    <w:rsid w:val="00DD2584"/>
    <w:pPr>
      <w:tabs>
        <w:tab w:val="center" w:pos="4680"/>
        <w:tab w:val="right" w:pos="9360"/>
      </w:tabs>
      <w:spacing w:line="240" w:lineRule="auto"/>
    </w:pPr>
  </w:style>
  <w:style w:type="character" w:customStyle="1" w:styleId="FooterChar">
    <w:name w:val="Footer Char"/>
    <w:basedOn w:val="DefaultParagraphFont"/>
    <w:link w:val="Footer"/>
    <w:uiPriority w:val="99"/>
    <w:rsid w:val="00DD25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584"/>
    <w:pPr>
      <w:tabs>
        <w:tab w:val="center" w:pos="4680"/>
        <w:tab w:val="right" w:pos="9360"/>
      </w:tabs>
      <w:spacing w:line="240" w:lineRule="auto"/>
    </w:pPr>
  </w:style>
  <w:style w:type="character" w:customStyle="1" w:styleId="HeaderChar">
    <w:name w:val="Header Char"/>
    <w:basedOn w:val="DefaultParagraphFont"/>
    <w:link w:val="Header"/>
    <w:uiPriority w:val="99"/>
    <w:rsid w:val="00DD2584"/>
  </w:style>
  <w:style w:type="paragraph" w:styleId="Footer">
    <w:name w:val="footer"/>
    <w:basedOn w:val="Normal"/>
    <w:link w:val="FooterChar"/>
    <w:uiPriority w:val="99"/>
    <w:unhideWhenUsed/>
    <w:rsid w:val="00DD2584"/>
    <w:pPr>
      <w:tabs>
        <w:tab w:val="center" w:pos="4680"/>
        <w:tab w:val="right" w:pos="9360"/>
      </w:tabs>
      <w:spacing w:line="240" w:lineRule="auto"/>
    </w:pPr>
  </w:style>
  <w:style w:type="character" w:customStyle="1" w:styleId="FooterChar">
    <w:name w:val="Footer Char"/>
    <w:basedOn w:val="DefaultParagraphFont"/>
    <w:link w:val="Footer"/>
    <w:uiPriority w:val="99"/>
    <w:rsid w:val="00DD2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VINNY</cp:lastModifiedBy>
  <cp:revision>2</cp:revision>
  <dcterms:created xsi:type="dcterms:W3CDTF">2021-09-27T01:15:00Z</dcterms:created>
  <dcterms:modified xsi:type="dcterms:W3CDTF">2021-09-27T03:27:00Z</dcterms:modified>
</cp:coreProperties>
</file>